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36"/>
        <w:gridCol w:w="1543"/>
        <w:gridCol w:w="1504"/>
        <w:gridCol w:w="960"/>
        <w:gridCol w:w="2404"/>
        <w:gridCol w:w="60"/>
        <w:gridCol w:w="2237"/>
        <w:gridCol w:w="1170"/>
      </w:tblGrid>
      <w:tr w:rsidR="00D93C95" w:rsidRPr="00D93C95" w:rsidTr="007340A0">
        <w:trPr>
          <w:trHeight w:val="227"/>
        </w:trPr>
        <w:tc>
          <w:tcPr>
            <w:tcW w:w="3879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bookmarkStart w:id="0" w:name="_Toc421004497"/>
            <w:r w:rsidRPr="00D93C95">
              <w:rPr>
                <w:szCs w:val="20"/>
                <w:lang w:val="sr-Cyrl-CS" w:eastAsia="sr-Latn-CS"/>
              </w:rPr>
              <w:t>Име и презиме</w:t>
            </w:r>
            <w:bookmarkEnd w:id="0"/>
          </w:p>
        </w:tc>
        <w:tc>
          <w:tcPr>
            <w:tcW w:w="6831" w:type="dxa"/>
            <w:gridSpan w:val="5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outlineLvl w:val="0"/>
              <w:rPr>
                <w:lang w:val="sr-Cyrl-CS" w:eastAsia="sr-Latn-CS"/>
              </w:rPr>
            </w:pPr>
            <w:bookmarkStart w:id="1" w:name="_Toc431806218"/>
            <w:r w:rsidRPr="00D93C95">
              <w:rPr>
                <w:lang w:val="sr-Cyrl-CS" w:eastAsia="sr-Latn-CS"/>
              </w:rPr>
              <w:t>Зона В. Мркаљ</w:t>
            </w:r>
            <w:bookmarkEnd w:id="1"/>
          </w:p>
        </w:tc>
      </w:tr>
      <w:tr w:rsidR="00D93C95" w:rsidRPr="00D93C95" w:rsidTr="007340A0">
        <w:trPr>
          <w:trHeight w:val="227"/>
        </w:trPr>
        <w:tc>
          <w:tcPr>
            <w:tcW w:w="3879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sr-Cyrl-CS" w:eastAsia="sr-Latn-CS"/>
              </w:rPr>
            </w:pPr>
            <w:r w:rsidRPr="00D93C95">
              <w:rPr>
                <w:b/>
                <w:szCs w:val="20"/>
                <w:lang w:val="sr-Cyrl-CS" w:eastAsia="sr-Latn-CS"/>
              </w:rPr>
              <w:t>Звање</w:t>
            </w:r>
          </w:p>
        </w:tc>
        <w:tc>
          <w:tcPr>
            <w:tcW w:w="6831" w:type="dxa"/>
            <w:gridSpan w:val="5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sr-Cyrl-CS" w:eastAsia="sr-Latn-CS"/>
              </w:rPr>
            </w:pPr>
            <w:r w:rsidRPr="00D93C95">
              <w:rPr>
                <w:szCs w:val="20"/>
                <w:lang w:val="sr-Cyrl-CS" w:eastAsia="sr-Latn-CS"/>
              </w:rPr>
              <w:t>Ванредни професор</w:t>
            </w:r>
          </w:p>
        </w:tc>
      </w:tr>
      <w:tr w:rsidR="00D93C95" w:rsidRPr="00D93C95" w:rsidTr="007340A0">
        <w:trPr>
          <w:trHeight w:val="227"/>
        </w:trPr>
        <w:tc>
          <w:tcPr>
            <w:tcW w:w="3879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b/>
                <w:sz w:val="22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6831" w:type="dxa"/>
            <w:gridSpan w:val="5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Српска књижевност</w:t>
            </w:r>
          </w:p>
        </w:tc>
      </w:tr>
      <w:tr w:rsidR="00D93C95" w:rsidRPr="00D93C95" w:rsidTr="007340A0">
        <w:trPr>
          <w:trHeight w:val="227"/>
        </w:trPr>
        <w:tc>
          <w:tcPr>
            <w:tcW w:w="2375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b/>
                <w:sz w:val="22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504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424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Институција / Универзитет у Београду</w:t>
            </w:r>
          </w:p>
        </w:tc>
        <w:tc>
          <w:tcPr>
            <w:tcW w:w="3407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D93C95" w:rsidRPr="00D93C95" w:rsidTr="007340A0">
        <w:trPr>
          <w:trHeight w:val="227"/>
        </w:trPr>
        <w:tc>
          <w:tcPr>
            <w:tcW w:w="2375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504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2011.</w:t>
            </w:r>
          </w:p>
        </w:tc>
        <w:tc>
          <w:tcPr>
            <w:tcW w:w="3424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Филолошки факултет</w:t>
            </w:r>
          </w:p>
        </w:tc>
        <w:tc>
          <w:tcPr>
            <w:tcW w:w="3407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Српска књижевност</w:t>
            </w:r>
          </w:p>
        </w:tc>
      </w:tr>
      <w:tr w:rsidR="00D93C95" w:rsidRPr="00D93C95" w:rsidTr="007340A0">
        <w:trPr>
          <w:trHeight w:val="227"/>
        </w:trPr>
        <w:tc>
          <w:tcPr>
            <w:tcW w:w="2375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504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2005.</w:t>
            </w:r>
          </w:p>
        </w:tc>
        <w:tc>
          <w:tcPr>
            <w:tcW w:w="3424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Филолошки факултет</w:t>
            </w:r>
          </w:p>
        </w:tc>
        <w:tc>
          <w:tcPr>
            <w:tcW w:w="3407" w:type="dxa"/>
            <w:gridSpan w:val="2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Српска књижевност</w:t>
            </w:r>
          </w:p>
        </w:tc>
      </w:tr>
      <w:tr w:rsidR="00D93C95" w:rsidRPr="00D93C95" w:rsidTr="007340A0">
        <w:trPr>
          <w:trHeight w:val="227"/>
        </w:trPr>
        <w:tc>
          <w:tcPr>
            <w:tcW w:w="2375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504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1984.</w:t>
            </w:r>
          </w:p>
        </w:tc>
        <w:tc>
          <w:tcPr>
            <w:tcW w:w="3424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Филолошки факултет</w:t>
            </w:r>
          </w:p>
        </w:tc>
        <w:tc>
          <w:tcPr>
            <w:tcW w:w="3407" w:type="dxa"/>
            <w:gridSpan w:val="2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Српска књижевност</w:t>
            </w:r>
          </w:p>
        </w:tc>
      </w:tr>
      <w:tr w:rsidR="00D93C95" w:rsidRPr="00D93C95" w:rsidTr="007340A0">
        <w:trPr>
          <w:trHeight w:val="227"/>
        </w:trPr>
        <w:tc>
          <w:tcPr>
            <w:tcW w:w="10710" w:type="dxa"/>
            <w:gridSpan w:val="9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D93C95" w:rsidRPr="00D93C95" w:rsidTr="007340A0">
        <w:trPr>
          <w:trHeight w:val="227"/>
        </w:trPr>
        <w:tc>
          <w:tcPr>
            <w:tcW w:w="832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iCs/>
                <w:sz w:val="22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3467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Врста студија</w:t>
            </w:r>
          </w:p>
        </w:tc>
      </w:tr>
      <w:tr w:rsidR="00D93C95" w:rsidRPr="00D93C95" w:rsidTr="007340A0">
        <w:trPr>
          <w:trHeight w:val="227"/>
        </w:trPr>
        <w:tc>
          <w:tcPr>
            <w:tcW w:w="832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Увод у Методику 06</w:t>
            </w:r>
          </w:p>
        </w:tc>
        <w:tc>
          <w:tcPr>
            <w:tcW w:w="3467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D93C95" w:rsidRPr="00D93C95" w:rsidTr="007340A0">
        <w:trPr>
          <w:trHeight w:val="227"/>
        </w:trPr>
        <w:tc>
          <w:tcPr>
            <w:tcW w:w="832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 xml:space="preserve">2. </w:t>
            </w:r>
          </w:p>
        </w:tc>
        <w:tc>
          <w:tcPr>
            <w:tcW w:w="641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Методика наставе српског језика 05</w:t>
            </w:r>
          </w:p>
        </w:tc>
        <w:tc>
          <w:tcPr>
            <w:tcW w:w="3467" w:type="dxa"/>
            <w:gridSpan w:val="3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Latn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D93C95" w:rsidRPr="00D93C95" w:rsidTr="007340A0">
        <w:trPr>
          <w:trHeight w:val="227"/>
        </w:trPr>
        <w:tc>
          <w:tcPr>
            <w:tcW w:w="832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Изборни курс из Методике наставе књижевности и срп. јез.</w:t>
            </w:r>
          </w:p>
        </w:tc>
        <w:tc>
          <w:tcPr>
            <w:tcW w:w="3467" w:type="dxa"/>
            <w:gridSpan w:val="3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Latn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D93C95" w:rsidRPr="00D93C95" w:rsidTr="007340A0">
        <w:trPr>
          <w:trHeight w:val="227"/>
        </w:trPr>
        <w:tc>
          <w:tcPr>
            <w:tcW w:w="832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Методичка пракса 05</w:t>
            </w:r>
          </w:p>
        </w:tc>
        <w:tc>
          <w:tcPr>
            <w:tcW w:w="3467" w:type="dxa"/>
            <w:gridSpan w:val="3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Latn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D93C95" w:rsidRPr="00D93C95" w:rsidTr="007340A0">
        <w:trPr>
          <w:trHeight w:val="227"/>
        </w:trPr>
        <w:tc>
          <w:tcPr>
            <w:tcW w:w="832" w:type="dxa"/>
            <w:gridSpan w:val="2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Методика наставе књижевности</w:t>
            </w:r>
          </w:p>
        </w:tc>
        <w:tc>
          <w:tcPr>
            <w:tcW w:w="3467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МАС</w:t>
            </w:r>
          </w:p>
        </w:tc>
      </w:tr>
      <w:tr w:rsidR="00D93C95" w:rsidRPr="00D93C95" w:rsidTr="007340A0">
        <w:trPr>
          <w:trHeight w:val="227"/>
        </w:trPr>
        <w:tc>
          <w:tcPr>
            <w:tcW w:w="10710" w:type="dxa"/>
            <w:gridSpan w:val="9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D93C95">
              <w:rPr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highlight w:val="yellow"/>
                <w:lang w:val="sr-Latn-CS" w:eastAsia="sr-Latn-CS"/>
              </w:rPr>
            </w:pPr>
            <w:r w:rsidRPr="00D93C95">
              <w:rPr>
                <w:sz w:val="22"/>
                <w:lang w:val="sr-Cyrl-RS" w:eastAsia="sr-Latn-CS"/>
              </w:rPr>
              <w:t xml:space="preserve">Песме из Вукове </w:t>
            </w:r>
            <w:r w:rsidRPr="00D93C95">
              <w:rPr>
                <w:i/>
                <w:sz w:val="22"/>
                <w:lang w:val="sr-Cyrl-RS" w:eastAsia="sr-Latn-CS"/>
              </w:rPr>
              <w:t>Пјеснарице</w:t>
            </w:r>
            <w:r w:rsidRPr="00D93C95">
              <w:rPr>
                <w:sz w:val="22"/>
                <w:lang w:val="sr-Cyrl-RS" w:eastAsia="sr-Latn-CS"/>
              </w:rPr>
              <w:t xml:space="preserve"> у настави српског језика и књижевности </w:t>
            </w:r>
            <w:r w:rsidRPr="00D93C95">
              <w:rPr>
                <w:sz w:val="22"/>
                <w:lang w:val="sr-Cyrl-CS" w:eastAsia="sr-Latn-CS"/>
              </w:rPr>
              <w:t xml:space="preserve">// </w:t>
            </w:r>
            <w:r w:rsidRPr="00D93C95">
              <w:rPr>
                <w:sz w:val="22"/>
                <w:lang w:val="sr-Cyrl-RS" w:eastAsia="sr-Latn-CS"/>
              </w:rPr>
              <w:t>Научни састанак слависта у Вукове дане (Тематски зборник: Развојни токови српске поезије). Београд: МСЦ, 2015, 44/2, стр. 325–337.</w:t>
            </w:r>
            <w:r w:rsidRPr="00D93C95">
              <w:rPr>
                <w:sz w:val="22"/>
                <w:lang w:val="sr-Cyrl-CS" w:eastAsia="sr-Latn-C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highlight w:val="yellow"/>
                <w:lang w:val="sr-Latn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</w:t>
            </w:r>
            <w:r w:rsidRPr="00D93C95">
              <w:rPr>
                <w:sz w:val="22"/>
                <w:szCs w:val="20"/>
                <w:lang w:val="sr-Cyrl-RS" w:eastAsia="sr-Latn-CS"/>
              </w:rPr>
              <w:t>14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lang w:val="sr-Cyrl-RS" w:eastAsia="sr-Latn-CS"/>
              </w:rPr>
            </w:pPr>
            <w:r w:rsidRPr="00D93C95">
              <w:rPr>
                <w:sz w:val="22"/>
                <w:lang w:val="sr-Cyrl-CS" w:eastAsia="sr-Latn-CS"/>
              </w:rPr>
              <w:t xml:space="preserve">Сумрак лирике у часопису ,,Наша стварност” // Научни састанак слависта у Вукове дане (Тематски зборник: Развојни токови српске поезије). </w:t>
            </w:r>
            <w:r w:rsidRPr="00D93C95">
              <w:rPr>
                <w:sz w:val="22"/>
                <w:lang w:val="sr-Latn-CS" w:eastAsia="sr-Latn-CS"/>
              </w:rPr>
              <w:t xml:space="preserve">Београд : МСЦ, 2013, 42/2, стр. 735–742. </w:t>
            </w:r>
            <w:r w:rsidRPr="00D93C95">
              <w:rPr>
                <w:b/>
                <w:sz w:val="22"/>
                <w:lang w:val="ru-RU" w:eastAsia="sr-Latn-C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</w:t>
            </w:r>
            <w:r w:rsidRPr="00D93C95">
              <w:rPr>
                <w:sz w:val="22"/>
                <w:szCs w:val="20"/>
                <w:lang w:val="sr-Latn-RS" w:eastAsia="sr-Latn-CS"/>
              </w:rPr>
              <w:t>14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lang w:val="sr-Cyrl-CS" w:eastAsia="sr-Latn-CS"/>
              </w:rPr>
            </w:pPr>
            <w:r w:rsidRPr="00D93C95">
              <w:rPr>
                <w:sz w:val="22"/>
                <w:lang w:val="sr-Cyrl-CS" w:eastAsia="sr-Latn-CS"/>
              </w:rPr>
              <w:t xml:space="preserve">Часопис  „Наша стварност“ у 40-им годинама </w:t>
            </w:r>
            <w:r w:rsidRPr="00D93C95">
              <w:rPr>
                <w:sz w:val="22"/>
                <w:lang w:val="sr-Latn-CS" w:eastAsia="sr-Latn-CS"/>
              </w:rPr>
              <w:t xml:space="preserve">XX </w:t>
            </w:r>
            <w:r w:rsidRPr="00D93C95">
              <w:rPr>
                <w:sz w:val="22"/>
                <w:lang w:val="sr-Cyrl-CS" w:eastAsia="sr-Latn-CS"/>
              </w:rPr>
              <w:t xml:space="preserve">века (улога, место и значај) // Научни састанак слависта у Вукове дане (зборник радова). </w:t>
            </w:r>
            <w:r w:rsidRPr="00D93C95">
              <w:rPr>
                <w:sz w:val="22"/>
                <w:lang w:val="sr-Latn-CS" w:eastAsia="sr-Latn-CS"/>
              </w:rPr>
              <w:t>Београд : МСЦ, 2010, 39/2, стр. 403–411</w:t>
            </w:r>
            <w:r w:rsidRPr="00D93C95">
              <w:rPr>
                <w:sz w:val="22"/>
                <w:lang w:val="ru-RU" w:eastAsia="sr-Latn-CS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М14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lang w:val="sr-Cyrl-RS" w:eastAsia="sr-Latn-CS"/>
              </w:rPr>
            </w:pPr>
            <w:r w:rsidRPr="00D93C95">
              <w:rPr>
                <w:sz w:val="22"/>
                <w:lang w:val="sr-Cyrl-CS" w:eastAsia="sr-Latn-CS"/>
              </w:rPr>
              <w:t xml:space="preserve">Типови новела у Вуковој збирци из 1853. // Зборник радова са 31. међународног састанка слависта у Вукове дане. – Београд : МСЦ, 2002, 31/2, стр. 89–94. 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</w:t>
            </w:r>
            <w:r w:rsidRPr="00D93C95">
              <w:rPr>
                <w:sz w:val="22"/>
                <w:szCs w:val="20"/>
                <w:lang w:val="sr-Latn-RS" w:eastAsia="sr-Latn-CS"/>
              </w:rPr>
              <w:t>14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lang w:val="sr-Cyrl-RS" w:eastAsia="sr-Latn-CS"/>
              </w:rPr>
            </w:pPr>
            <w:r w:rsidRPr="00D93C95">
              <w:rPr>
                <w:sz w:val="22"/>
                <w:lang w:val="sr-Cyrl-CS" w:eastAsia="sr-Latn-CS"/>
              </w:rPr>
              <w:t>Приче о животињама из Вукове и Чајкановићеве збирке // Зборник радова са 29. међународног састанка слависта у Вукове дане. – Београд : МСЦ, 2000, 29 / 2, стр. 141–149.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</w:t>
            </w:r>
            <w:r w:rsidRPr="00D93C95">
              <w:rPr>
                <w:sz w:val="22"/>
                <w:szCs w:val="20"/>
                <w:lang w:val="sr-Latn-RS" w:eastAsia="sr-Latn-CS"/>
              </w:rPr>
              <w:t>14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trike/>
                <w:sz w:val="22"/>
                <w:highlight w:val="yellow"/>
                <w:lang w:val="sr-Cyrl-CS" w:eastAsia="sr-Latn-CS"/>
              </w:rPr>
            </w:pPr>
            <w:r w:rsidRPr="00D93C95">
              <w:rPr>
                <w:sz w:val="22"/>
                <w:lang w:val="sr-Cyrl-RS" w:eastAsia="sr-Latn-CS"/>
              </w:rPr>
              <w:t xml:space="preserve">Књижевно-критичка мисао у међуратном часопису „Наша стварност” (1936–1939) // Прилози за књижевност, језик, историју и фолклор. - Београд : Филолошки факултет, Књига 81, 2015.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22"/>
                <w:szCs w:val="20"/>
                <w:highlight w:val="yellow"/>
                <w:lang w:val="sr-Latn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</w:t>
            </w:r>
            <w:r w:rsidRPr="00D93C95">
              <w:rPr>
                <w:sz w:val="22"/>
                <w:szCs w:val="20"/>
                <w:lang w:val="sr-Latn-CS" w:eastAsia="sr-Latn-CS"/>
              </w:rPr>
              <w:t xml:space="preserve"> </w:t>
            </w:r>
            <w:r w:rsidRPr="00D93C95">
              <w:rPr>
                <w:sz w:val="22"/>
                <w:szCs w:val="20"/>
                <w:lang w:val="sr-Cyrl-RS" w:eastAsia="sr-Latn-CS"/>
              </w:rPr>
              <w:t>24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en-GB" w:eastAsia="sr-Latn-CS"/>
              </w:rPr>
              <w:t>7.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lang w:val="sr-Latn-CS" w:eastAsia="sr-Latn-CS"/>
              </w:rPr>
            </w:pPr>
            <w:r w:rsidRPr="00D93C95">
              <w:rPr>
                <w:sz w:val="22"/>
                <w:lang w:val="sr-Cyrl-CS" w:eastAsia="sr-Latn-CS"/>
              </w:rPr>
              <w:t xml:space="preserve">Стваралаштво Петра </w:t>
            </w:r>
            <w:r w:rsidRPr="00D93C95">
              <w:rPr>
                <w:sz w:val="22"/>
                <w:lang w:val="sr-Latn-CS" w:eastAsia="sr-Latn-CS"/>
              </w:rPr>
              <w:t>II</w:t>
            </w:r>
            <w:r w:rsidRPr="00D93C95">
              <w:rPr>
                <w:sz w:val="22"/>
                <w:lang w:val="ru-RU" w:eastAsia="sr-Latn-CS"/>
              </w:rPr>
              <w:t xml:space="preserve"> </w:t>
            </w:r>
            <w:r w:rsidRPr="00D93C95">
              <w:rPr>
                <w:sz w:val="22"/>
                <w:lang w:val="sr-Latn-CS" w:eastAsia="sr-Latn-CS"/>
              </w:rPr>
              <w:t>Петровић</w:t>
            </w:r>
            <w:r w:rsidRPr="00D93C95">
              <w:rPr>
                <w:sz w:val="22"/>
                <w:lang w:val="sr-Cyrl-RS" w:eastAsia="sr-Latn-CS"/>
              </w:rPr>
              <w:t xml:space="preserve">а Његоша као подстицај за различите наставне активности // </w:t>
            </w:r>
            <w:r w:rsidRPr="00D93C95">
              <w:rPr>
                <w:sz w:val="22"/>
                <w:lang w:val="sr-Cyrl-CS" w:eastAsia="sr-Latn-CS"/>
              </w:rPr>
              <w:t xml:space="preserve">Зборник радова </w:t>
            </w:r>
            <w:r w:rsidRPr="00D93C95">
              <w:rPr>
                <w:sz w:val="22"/>
                <w:lang w:val="sr-Cyrl-RS" w:eastAsia="sr-Latn-CS"/>
              </w:rPr>
              <w:t>Филозофског факултета Универзитета у Приштини:</w:t>
            </w:r>
            <w:r w:rsidRPr="00D93C95">
              <w:rPr>
                <w:sz w:val="22"/>
                <w:lang w:val="sr-Cyrl-CS" w:eastAsia="sr-Latn-CS"/>
              </w:rPr>
              <w:t xml:space="preserve"> </w:t>
            </w:r>
            <w:r w:rsidRPr="00D93C95">
              <w:rPr>
                <w:i/>
                <w:sz w:val="22"/>
                <w:lang w:val="sr-Cyrl-CS" w:eastAsia="sr-Latn-CS"/>
              </w:rPr>
              <w:t xml:space="preserve">Од косовског завета до Његошевог макрокозма Петар </w:t>
            </w:r>
            <w:r w:rsidRPr="00D93C95">
              <w:rPr>
                <w:i/>
                <w:sz w:val="22"/>
                <w:lang w:val="sr-Latn-CS" w:eastAsia="sr-Latn-CS"/>
              </w:rPr>
              <w:t>II</w:t>
            </w:r>
            <w:r w:rsidRPr="00D93C95">
              <w:rPr>
                <w:i/>
                <w:sz w:val="22"/>
                <w:lang w:val="ru-RU" w:eastAsia="sr-Latn-CS"/>
              </w:rPr>
              <w:t xml:space="preserve"> </w:t>
            </w:r>
            <w:r w:rsidRPr="00D93C95">
              <w:rPr>
                <w:i/>
                <w:sz w:val="22"/>
                <w:lang w:val="sr-Latn-CS" w:eastAsia="sr-Latn-CS"/>
              </w:rPr>
              <w:t>Петровић Његош</w:t>
            </w:r>
            <w:r w:rsidRPr="00D93C95">
              <w:rPr>
                <w:i/>
                <w:sz w:val="22"/>
                <w:lang w:val="sr-Cyrl-RS" w:eastAsia="sr-Latn-CS"/>
              </w:rPr>
              <w:t xml:space="preserve"> (1813–2013)</w:t>
            </w:r>
            <w:r w:rsidRPr="00D93C95">
              <w:rPr>
                <w:sz w:val="22"/>
                <w:lang w:val="sr-Cyrl-RS" w:eastAsia="sr-Latn-CS"/>
              </w:rPr>
              <w:t xml:space="preserve">, 2014, стр. 735–742.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М51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en-GB" w:eastAsia="sr-Latn-CS"/>
              </w:rPr>
              <w:t>8.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highlight w:val="yellow"/>
                <w:lang w:val="ru-RU" w:eastAsia="sr-Latn-CS"/>
              </w:rPr>
            </w:pPr>
            <w:r w:rsidRPr="00D93C95">
              <w:rPr>
                <w:sz w:val="22"/>
                <w:lang w:val="sr-Cyrl-CS" w:eastAsia="sr-Latn-CS"/>
              </w:rPr>
              <w:t>Тематика Косова и Метохије у књижевним текстовима наставних програма и читанки за старије разреде основне школе</w:t>
            </w:r>
            <w:r w:rsidRPr="00D93C95">
              <w:rPr>
                <w:sz w:val="22"/>
                <w:lang w:val="ru-RU" w:eastAsia="sr-Latn-CS"/>
              </w:rPr>
              <w:t xml:space="preserve"> // Косово и </w:t>
            </w:r>
            <w:r w:rsidRPr="00D93C95">
              <w:rPr>
                <w:sz w:val="22"/>
                <w:lang w:val="sr-Cyrl-RS" w:eastAsia="sr-Latn-CS"/>
              </w:rPr>
              <w:t>М</w:t>
            </w:r>
            <w:r w:rsidRPr="00D93C95">
              <w:rPr>
                <w:sz w:val="22"/>
                <w:lang w:val="ru-RU" w:eastAsia="sr-Latn-CS"/>
              </w:rPr>
              <w:t>етохија у цивилизацијским токовима</w:t>
            </w:r>
            <w:r w:rsidRPr="00D93C95">
              <w:rPr>
                <w:sz w:val="22"/>
                <w:lang w:val="sr-Cyrl-RS" w:eastAsia="sr-Latn-CS"/>
              </w:rPr>
              <w:t xml:space="preserve">. – Косовска Митровица : Универзитет у Приштини : Филозофски факултет Косовска Митровица, Књига 2, Књижевност, 2010, стр. </w:t>
            </w:r>
            <w:r w:rsidRPr="00D93C95">
              <w:rPr>
                <w:sz w:val="22"/>
                <w:lang w:val="ru-RU" w:eastAsia="sr-Latn-CS"/>
              </w:rPr>
              <w:t>463–472.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highlight w:val="yellow"/>
                <w:lang w:val="en-GB" w:eastAsia="sr-Latn-CS"/>
              </w:rPr>
            </w:pPr>
            <w:r w:rsidRPr="00D93C95">
              <w:rPr>
                <w:sz w:val="22"/>
                <w:szCs w:val="20"/>
                <w:lang w:val="en-GB" w:eastAsia="sr-Latn-CS"/>
              </w:rPr>
              <w:t>M</w:t>
            </w:r>
            <w:r w:rsidRPr="00D93C95">
              <w:rPr>
                <w:sz w:val="22"/>
                <w:szCs w:val="20"/>
                <w:lang w:val="sr-Cyrl-RS" w:eastAsia="sr-Latn-CS"/>
              </w:rPr>
              <w:t>51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en-GB" w:eastAsia="sr-Latn-CS"/>
              </w:rPr>
              <w:t>9.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highlight w:val="yellow"/>
                <w:lang w:val="ru-RU" w:eastAsia="sr-Latn-CS"/>
              </w:rPr>
            </w:pPr>
            <w:r w:rsidRPr="00D93C95">
              <w:rPr>
                <w:sz w:val="22"/>
                <w:lang w:val="sr-Cyrl-CS" w:eastAsia="sr-Latn-CS"/>
              </w:rPr>
              <w:t xml:space="preserve">Стандарди ученичких постигнућа за крај обавезног образовања у области Српски језик (улога, место и значај) // Савремено изучавање српског језика и књижевности и словенских језика као матерњих, инословенских и страних. </w:t>
            </w:r>
            <w:r w:rsidRPr="00D93C95">
              <w:rPr>
                <w:sz w:val="22"/>
                <w:lang w:val="en-GB" w:eastAsia="sr-Latn-CS"/>
              </w:rPr>
              <w:t xml:space="preserve">XVII конгрес Савеза славистичких друштава Србије. </w:t>
            </w:r>
            <w:r w:rsidRPr="00D93C95">
              <w:rPr>
                <w:sz w:val="22"/>
                <w:lang w:val="sr-Cyrl-CS" w:eastAsia="sr-Latn-CS"/>
              </w:rPr>
              <w:t xml:space="preserve">Књига резимеа – Београд: Савез славистичких друштава Србије, 2009, стр. 111–112.   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highlight w:val="yellow"/>
                <w:lang w:val="en-GB" w:eastAsia="sr-Latn-CS"/>
              </w:rPr>
            </w:pPr>
            <w:r w:rsidRPr="00D93C95">
              <w:rPr>
                <w:sz w:val="22"/>
                <w:szCs w:val="20"/>
                <w:lang w:val="en-GB" w:eastAsia="sr-Latn-CS"/>
              </w:rPr>
              <w:t>M</w:t>
            </w:r>
            <w:r w:rsidRPr="00D93C95">
              <w:rPr>
                <w:sz w:val="22"/>
                <w:szCs w:val="20"/>
                <w:lang w:val="sr-Cyrl-RS" w:eastAsia="sr-Latn-CS"/>
              </w:rPr>
              <w:t>34</w:t>
            </w:r>
          </w:p>
        </w:tc>
      </w:tr>
      <w:tr w:rsidR="00D93C95" w:rsidRPr="00D93C95" w:rsidTr="007340A0">
        <w:trPr>
          <w:trHeight w:val="476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RS" w:eastAsia="sr-Latn-CS"/>
              </w:rPr>
            </w:pPr>
            <w:r w:rsidRPr="00D93C95">
              <w:rPr>
                <w:sz w:val="20"/>
                <w:szCs w:val="20"/>
                <w:lang w:val="sr-Latn-RS" w:eastAsia="sr-Latn-CS"/>
              </w:rPr>
              <w:t>10</w:t>
            </w:r>
            <w:r w:rsidRPr="00D93C95">
              <w:rPr>
                <w:sz w:val="20"/>
                <w:szCs w:val="20"/>
                <w:lang w:val="sr-Cyrl-RS" w:eastAsia="sr-Latn-CS"/>
              </w:rPr>
              <w:t>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lang w:val="sr-Cyrl-CS" w:eastAsia="sr-Latn-CS"/>
              </w:rPr>
            </w:pPr>
            <w:r w:rsidRPr="00D93C95">
              <w:rPr>
                <w:sz w:val="22"/>
                <w:lang w:val="sr-Cyrl-CS" w:eastAsia="sr-Latn-CS"/>
              </w:rPr>
              <w:t>Типови текстова у настави српског језика и књижевности //</w:t>
            </w:r>
            <w:r w:rsidRPr="00D93C95">
              <w:rPr>
                <w:b/>
                <w:sz w:val="22"/>
                <w:lang w:val="sr-Cyrl-CS" w:eastAsia="sr-Latn-CS"/>
              </w:rPr>
              <w:t xml:space="preserve"> </w:t>
            </w:r>
            <w:r w:rsidRPr="00D93C95">
              <w:rPr>
                <w:sz w:val="22"/>
                <w:lang w:val="en-GB" w:eastAsia="sr-Latn-CS"/>
              </w:rPr>
              <w:t>XVIII</w:t>
            </w:r>
            <w:r w:rsidRPr="00D93C95">
              <w:rPr>
                <w:sz w:val="22"/>
                <w:lang w:val="sr-Cyrl-CS" w:eastAsia="sr-Latn-CS"/>
              </w:rPr>
              <w:t xml:space="preserve"> конгрес Савеза слав. друштава Србије</w:t>
            </w:r>
            <w:r w:rsidRPr="00D93C95">
              <w:rPr>
                <w:sz w:val="22"/>
                <w:lang w:val="en-GB" w:eastAsia="sr-Latn-CS"/>
              </w:rPr>
              <w:t xml:space="preserve"> // </w:t>
            </w:r>
            <w:r w:rsidRPr="00D93C95">
              <w:rPr>
                <w:sz w:val="22"/>
                <w:lang w:val="sr-Cyrl-CS" w:eastAsia="sr-Latn-CS"/>
              </w:rPr>
              <w:t xml:space="preserve">Савремено изучавање српског језика и књижевности и словенских језика као матерњих, инословенских и страних. Књига резимеа. – Београду : Универзитет у Београду, Филолошки факултет, 2014, стр. 130–131.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sr-Latn-R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</w:t>
            </w:r>
            <w:r w:rsidRPr="00D93C95">
              <w:rPr>
                <w:sz w:val="22"/>
                <w:szCs w:val="20"/>
                <w:lang w:val="sr-Cyrl-RS" w:eastAsia="sr-Latn-CS"/>
              </w:rPr>
              <w:t>34</w:t>
            </w:r>
          </w:p>
        </w:tc>
      </w:tr>
      <w:tr w:rsidR="00D93C95" w:rsidRPr="00D93C95" w:rsidTr="007340A0">
        <w:trPr>
          <w:trHeight w:val="227"/>
        </w:trPr>
        <w:tc>
          <w:tcPr>
            <w:tcW w:w="596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D93C95">
              <w:rPr>
                <w:sz w:val="20"/>
                <w:szCs w:val="20"/>
                <w:lang w:val="sr-Latn-RS" w:eastAsia="sr-Latn-CS"/>
              </w:rPr>
              <w:t>11.</w:t>
            </w:r>
          </w:p>
        </w:tc>
        <w:tc>
          <w:tcPr>
            <w:tcW w:w="8944" w:type="dxa"/>
            <w:gridSpan w:val="7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lang w:val="sr-Cyrl-CS" w:eastAsia="sr-Latn-CS"/>
              </w:rPr>
            </w:pPr>
            <w:r w:rsidRPr="00D93C95">
              <w:rPr>
                <w:sz w:val="22"/>
                <w:lang w:val="sr-Cyrl-CS" w:eastAsia="sr-Latn-CS"/>
              </w:rPr>
              <w:t>Рецепција руске књижевности у наставном контексту // Књижевност и језик</w:t>
            </w:r>
            <w:r w:rsidRPr="00D93C95">
              <w:rPr>
                <w:sz w:val="22"/>
                <w:lang w:val="sr-Latn-CS" w:eastAsia="sr-Latn-CS"/>
              </w:rPr>
              <w:t xml:space="preserve"> </w:t>
            </w:r>
            <w:r w:rsidRPr="00D93C95">
              <w:rPr>
                <w:sz w:val="22"/>
                <w:lang w:val="sr-Cyrl-RS" w:eastAsia="sr-Latn-CS"/>
              </w:rPr>
              <w:t xml:space="preserve">// </w:t>
            </w:r>
            <w:r w:rsidRPr="00D93C95">
              <w:rPr>
                <w:sz w:val="22"/>
                <w:lang w:val="sr-Latn-CS" w:eastAsia="sr-Latn-CS"/>
              </w:rPr>
              <w:t xml:space="preserve">Реферати </w:t>
            </w:r>
            <w:r w:rsidRPr="00D93C95">
              <w:rPr>
                <w:sz w:val="22"/>
                <w:lang w:val="sr-Cyrl-RS" w:eastAsia="sr-Latn-CS"/>
              </w:rPr>
              <w:t>с</w:t>
            </w:r>
            <w:r w:rsidRPr="00D93C95">
              <w:rPr>
                <w:sz w:val="22"/>
                <w:lang w:val="sr-Latn-CS" w:eastAsia="sr-Latn-CS"/>
              </w:rPr>
              <w:t>а 15. Међународн</w:t>
            </w:r>
            <w:r w:rsidRPr="00D93C95">
              <w:rPr>
                <w:sz w:val="22"/>
                <w:lang w:val="sr-Cyrl-RS" w:eastAsia="sr-Latn-CS"/>
              </w:rPr>
              <w:t>ог</w:t>
            </w:r>
            <w:r w:rsidRPr="00D93C95">
              <w:rPr>
                <w:sz w:val="22"/>
                <w:lang w:val="sr-Latn-CS" w:eastAsia="sr-Latn-CS"/>
              </w:rPr>
              <w:t xml:space="preserve"> конгрес</w:t>
            </w:r>
            <w:r w:rsidRPr="00D93C95">
              <w:rPr>
                <w:sz w:val="22"/>
                <w:lang w:val="sr-Cyrl-RS" w:eastAsia="sr-Latn-CS"/>
              </w:rPr>
              <w:t>а</w:t>
            </w:r>
            <w:r w:rsidRPr="00D93C95">
              <w:rPr>
                <w:sz w:val="22"/>
                <w:lang w:val="sr-Latn-CS" w:eastAsia="sr-Latn-CS"/>
              </w:rPr>
              <w:t xml:space="preserve"> слависта у Минску. – Београд. – бр. 2 (2013), </w:t>
            </w:r>
            <w:r w:rsidRPr="00D93C95">
              <w:rPr>
                <w:sz w:val="22"/>
                <w:lang w:val="sr-Cyrl-CS" w:eastAsia="sr-Latn-CS"/>
              </w:rPr>
              <w:t xml:space="preserve">стр. 25–42.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sr-Latn-R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</w:t>
            </w:r>
            <w:r w:rsidRPr="00D93C95">
              <w:rPr>
                <w:sz w:val="22"/>
                <w:szCs w:val="20"/>
                <w:lang w:val="sr-Cyrl-RS" w:eastAsia="sr-Latn-CS"/>
              </w:rPr>
              <w:t>51</w:t>
            </w:r>
          </w:p>
        </w:tc>
      </w:tr>
      <w:tr w:rsidR="00D93C95" w:rsidRPr="00D93C95" w:rsidTr="007340A0">
        <w:trPr>
          <w:trHeight w:val="227"/>
        </w:trPr>
        <w:tc>
          <w:tcPr>
            <w:tcW w:w="10710" w:type="dxa"/>
            <w:gridSpan w:val="9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b/>
                <w:sz w:val="22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D93C95" w:rsidRPr="00D93C95" w:rsidTr="007340A0">
        <w:trPr>
          <w:trHeight w:val="227"/>
        </w:trPr>
        <w:tc>
          <w:tcPr>
            <w:tcW w:w="4839" w:type="dxa"/>
            <w:gridSpan w:val="5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/</w:t>
            </w:r>
          </w:p>
        </w:tc>
      </w:tr>
      <w:tr w:rsidR="00D93C95" w:rsidRPr="00D93C95" w:rsidTr="007340A0">
        <w:trPr>
          <w:trHeight w:val="227"/>
        </w:trPr>
        <w:tc>
          <w:tcPr>
            <w:tcW w:w="4839" w:type="dxa"/>
            <w:gridSpan w:val="5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RS" w:eastAsia="sr-Latn-CS"/>
              </w:rPr>
            </w:pPr>
            <w:r w:rsidRPr="00D93C95">
              <w:rPr>
                <w:sz w:val="22"/>
                <w:szCs w:val="20"/>
                <w:lang w:val="sr-Cyrl-RS" w:eastAsia="sr-Latn-CS"/>
              </w:rPr>
              <w:t>/</w:t>
            </w:r>
          </w:p>
        </w:tc>
      </w:tr>
      <w:tr w:rsidR="00D93C95" w:rsidRPr="00D93C95" w:rsidTr="007340A0">
        <w:trPr>
          <w:trHeight w:val="227"/>
        </w:trPr>
        <w:tc>
          <w:tcPr>
            <w:tcW w:w="4839" w:type="dxa"/>
            <w:gridSpan w:val="5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Домаћи:     2</w:t>
            </w:r>
          </w:p>
        </w:tc>
        <w:tc>
          <w:tcPr>
            <w:tcW w:w="3467" w:type="dxa"/>
            <w:gridSpan w:val="3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Међународни:   1</w:t>
            </w:r>
          </w:p>
        </w:tc>
      </w:tr>
      <w:tr w:rsidR="00D93C95" w:rsidRPr="00D93C95" w:rsidTr="007340A0">
        <w:trPr>
          <w:trHeight w:val="227"/>
        </w:trPr>
        <w:tc>
          <w:tcPr>
            <w:tcW w:w="4839" w:type="dxa"/>
            <w:gridSpan w:val="5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/</w:t>
            </w:r>
          </w:p>
        </w:tc>
      </w:tr>
      <w:tr w:rsidR="00D93C95" w:rsidRPr="00D93C95" w:rsidTr="007340A0">
        <w:trPr>
          <w:trHeight w:val="227"/>
        </w:trPr>
        <w:tc>
          <w:tcPr>
            <w:tcW w:w="10710" w:type="dxa"/>
            <w:gridSpan w:val="9"/>
            <w:vAlign w:val="center"/>
          </w:tcPr>
          <w:p w:rsidR="00D93C95" w:rsidRPr="00D93C95" w:rsidRDefault="00D93C95" w:rsidP="00D93C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  <w:lang w:val="sr-Cyrl-CS" w:eastAsia="sr-Latn-CS"/>
              </w:rPr>
            </w:pPr>
            <w:r w:rsidRPr="00D93C95">
              <w:rPr>
                <w:sz w:val="22"/>
                <w:szCs w:val="20"/>
                <w:lang w:val="sr-Cyrl-CS" w:eastAsia="sr-Latn-CS"/>
              </w:rPr>
              <w:t>Други подаци које сматрате релевантним: /</w:t>
            </w:r>
          </w:p>
        </w:tc>
      </w:tr>
    </w:tbl>
    <w:p w:rsidR="004C04E0" w:rsidRPr="004A6C8B" w:rsidRDefault="004C04E0" w:rsidP="004A6C8B">
      <w:bookmarkStart w:id="2" w:name="_GoBack"/>
      <w:bookmarkEnd w:id="2"/>
    </w:p>
    <w:sectPr w:rsidR="004C04E0" w:rsidRPr="004A6C8B" w:rsidSect="004A6C8B">
      <w:pgSz w:w="11907" w:h="16840" w:code="9"/>
      <w:pgMar w:top="810" w:right="747" w:bottom="90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17EEA"/>
    <w:rsid w:val="00144B46"/>
    <w:rsid w:val="00160078"/>
    <w:rsid w:val="001B58EC"/>
    <w:rsid w:val="002D1720"/>
    <w:rsid w:val="00303752"/>
    <w:rsid w:val="003752E0"/>
    <w:rsid w:val="00382BA6"/>
    <w:rsid w:val="003C65E5"/>
    <w:rsid w:val="003E7C7B"/>
    <w:rsid w:val="004064FC"/>
    <w:rsid w:val="004606CC"/>
    <w:rsid w:val="004A6C8B"/>
    <w:rsid w:val="004C04E0"/>
    <w:rsid w:val="00553ABC"/>
    <w:rsid w:val="00562338"/>
    <w:rsid w:val="005B689A"/>
    <w:rsid w:val="00655D8F"/>
    <w:rsid w:val="006821E5"/>
    <w:rsid w:val="007820CE"/>
    <w:rsid w:val="00804A15"/>
    <w:rsid w:val="008342D5"/>
    <w:rsid w:val="008451E0"/>
    <w:rsid w:val="00871989"/>
    <w:rsid w:val="008864FA"/>
    <w:rsid w:val="00893CA6"/>
    <w:rsid w:val="0097367F"/>
    <w:rsid w:val="00A57388"/>
    <w:rsid w:val="00C55AF6"/>
    <w:rsid w:val="00CC60B2"/>
    <w:rsid w:val="00D16964"/>
    <w:rsid w:val="00D53C21"/>
    <w:rsid w:val="00D83FCA"/>
    <w:rsid w:val="00D93C95"/>
    <w:rsid w:val="00DA3342"/>
    <w:rsid w:val="00F415B9"/>
    <w:rsid w:val="00FB68B3"/>
    <w:rsid w:val="00FC4B20"/>
    <w:rsid w:val="00FF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1AF92A-9C54-4EE5-AF01-E656FCCD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FFD"/>
    <w:rPr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6C8B"/>
    <w:pPr>
      <w:widowControl w:val="0"/>
      <w:autoSpaceDE w:val="0"/>
      <w:autoSpaceDN w:val="0"/>
      <w:adjustRightInd w:val="0"/>
      <w:outlineLvl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53C21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D53C21"/>
    <w:rPr>
      <w:rFonts w:ascii="Calibri" w:eastAsia="Calibri" w:hAnsi="Calibri" w:cs="Times New Roman"/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4A6C8B"/>
    <w:rPr>
      <w:sz w:val="24"/>
      <w:szCs w:val="22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11</cp:revision>
  <dcterms:created xsi:type="dcterms:W3CDTF">2015-04-05T13:55:00Z</dcterms:created>
  <dcterms:modified xsi:type="dcterms:W3CDTF">2015-10-21T07:43:00Z</dcterms:modified>
</cp:coreProperties>
</file>